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018"/>
      </w:tblGrid>
      <w:tr w:rsidR="00FC185D" w:rsidRPr="00FC185D" w14:paraId="2B8289CC" w14:textId="77777777" w:rsidTr="00FC185D">
        <w:trPr>
          <w:trHeight w:val="407"/>
          <w:jc w:val="center"/>
        </w:trPr>
        <w:tc>
          <w:tcPr>
            <w:tcW w:w="15018" w:type="dxa"/>
            <w:shd w:val="clear" w:color="auto" w:fill="F6B26B"/>
            <w:vAlign w:val="center"/>
          </w:tcPr>
          <w:p w14:paraId="4A86AC08" w14:textId="41563CAA" w:rsidR="00FC185D" w:rsidRPr="00FC185D" w:rsidRDefault="00DF5DC3" w:rsidP="00FC185D">
            <w:pPr>
              <w:suppressAutoHyphens/>
              <w:autoSpaceDN w:val="0"/>
              <w:jc w:val="center"/>
              <w:textAlignment w:val="baseline"/>
              <w:rPr>
                <w:rFonts w:ascii="Ubuntu" w:eastAsia="Times New Roman" w:hAnsi="Ubuntu" w:cs="Times New Roman"/>
                <w:b/>
                <w:bCs/>
                <w:kern w:val="3"/>
                <w:lang w:eastAsia="zh-CN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3"/>
                <w:lang w:eastAsia="zh-CN"/>
              </w:rPr>
              <w:t>LOS PORÍFEROS</w:t>
            </w:r>
            <w:r w:rsidR="00FC185D" w:rsidRPr="00FC185D">
              <w:rPr>
                <w:rFonts w:ascii="Ubuntu" w:eastAsia="Times New Roman" w:hAnsi="Ubuntu" w:cs="Times New Roman"/>
                <w:b/>
                <w:bCs/>
                <w:kern w:val="3"/>
                <w:lang w:eastAsia="zh-CN"/>
              </w:rPr>
              <w:t xml:space="preserve"> (RÚBRICA DE EVALUACIÓN)</w:t>
            </w:r>
          </w:p>
        </w:tc>
      </w:tr>
    </w:tbl>
    <w:p w14:paraId="69499043" w14:textId="77777777" w:rsidR="00FC185D" w:rsidRPr="00FC185D" w:rsidRDefault="00FC185D" w:rsidP="00FC185D">
      <w:pPr>
        <w:spacing w:after="0" w:line="240" w:lineRule="auto"/>
        <w:rPr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33"/>
        <w:gridCol w:w="11985"/>
      </w:tblGrid>
      <w:tr w:rsidR="00FC185D" w:rsidRPr="00FC185D" w14:paraId="6C823DFD" w14:textId="77777777" w:rsidTr="0008078D">
        <w:trPr>
          <w:trHeight w:val="283"/>
          <w:jc w:val="center"/>
        </w:trPr>
        <w:tc>
          <w:tcPr>
            <w:tcW w:w="3033" w:type="dxa"/>
            <w:shd w:val="clear" w:color="auto" w:fill="FFFFFF" w:themeFill="background1"/>
            <w:vAlign w:val="center"/>
          </w:tcPr>
          <w:p w14:paraId="5DFA2505" w14:textId="0D81151F" w:rsidR="00FC185D" w:rsidRPr="0008078D" w:rsidRDefault="00FC185D" w:rsidP="0008078D">
            <w:pPr>
              <w:suppressAutoHyphens/>
              <w:autoSpaceDN w:val="0"/>
              <w:textAlignment w:val="baseline"/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 w:rsidRP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Nombre de</w:t>
            </w:r>
            <w:r w:rsid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 xml:space="preserve"> </w:t>
            </w:r>
            <w:r w:rsidRP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l</w:t>
            </w:r>
            <w:r w:rsid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a</w:t>
            </w:r>
            <w:r w:rsidRP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 xml:space="preserve"> alumn</w:t>
            </w:r>
            <w:r w:rsid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a</w:t>
            </w:r>
            <w:r w:rsidRP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 xml:space="preserve"> / alumn</w:t>
            </w:r>
            <w:r w:rsid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985" w:type="dxa"/>
            <w:shd w:val="clear" w:color="auto" w:fill="FFFFFF" w:themeFill="background1"/>
            <w:vAlign w:val="center"/>
          </w:tcPr>
          <w:p w14:paraId="61AAB22C" w14:textId="57687916" w:rsidR="00FC185D" w:rsidRPr="00FC185D" w:rsidRDefault="00FC185D" w:rsidP="00FC185D">
            <w:pPr>
              <w:suppressAutoHyphens/>
              <w:autoSpaceDN w:val="0"/>
              <w:jc w:val="center"/>
              <w:textAlignment w:val="baseline"/>
              <w:rPr>
                <w:rFonts w:ascii="Ubuntu" w:eastAsia="Times New Roman" w:hAnsi="Ubuntu" w:cs="Times New Roman"/>
                <w:b/>
                <w:bCs/>
                <w:kern w:val="3"/>
                <w:lang w:eastAsia="zh-CN"/>
              </w:rPr>
            </w:pPr>
          </w:p>
        </w:tc>
      </w:tr>
    </w:tbl>
    <w:p w14:paraId="38B1FCF6" w14:textId="77777777" w:rsidR="00FC185D" w:rsidRPr="00FC185D" w:rsidRDefault="00FC185D" w:rsidP="00FC185D">
      <w:pPr>
        <w:spacing w:after="0" w:line="240" w:lineRule="auto"/>
        <w:rPr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26"/>
        <w:gridCol w:w="2997"/>
        <w:gridCol w:w="2997"/>
        <w:gridCol w:w="2997"/>
        <w:gridCol w:w="2998"/>
      </w:tblGrid>
      <w:tr w:rsidR="001D6CC5" w14:paraId="149F582D" w14:textId="77777777" w:rsidTr="0008078D">
        <w:trPr>
          <w:trHeight w:val="283"/>
          <w:jc w:val="center"/>
        </w:trPr>
        <w:tc>
          <w:tcPr>
            <w:tcW w:w="3026" w:type="dxa"/>
            <w:vAlign w:val="center"/>
          </w:tcPr>
          <w:p w14:paraId="5B3385BC" w14:textId="13026756" w:rsidR="001D6CC5" w:rsidRPr="001D6CC5" w:rsidRDefault="001D6CC5" w:rsidP="001D6CC5">
            <w:pPr>
              <w:suppressAutoHyphens/>
              <w:autoSpaceDN w:val="0"/>
              <w:textAlignment w:val="baseline"/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1D6CC5"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INDICADORES DE LOGRO</w:t>
            </w:r>
          </w:p>
        </w:tc>
        <w:tc>
          <w:tcPr>
            <w:tcW w:w="2997" w:type="dxa"/>
            <w:shd w:val="clear" w:color="auto" w:fill="93C47D"/>
            <w:vAlign w:val="center"/>
          </w:tcPr>
          <w:p w14:paraId="629E6FB6" w14:textId="25B1257D" w:rsidR="001D6CC5" w:rsidRPr="001D6CC5" w:rsidRDefault="001D6CC5" w:rsidP="001D6CC5">
            <w:pPr>
              <w:suppressAutoHyphens/>
              <w:autoSpaceDN w:val="0"/>
              <w:jc w:val="center"/>
              <w:textAlignment w:val="baseline"/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1D6CC5"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997" w:type="dxa"/>
            <w:shd w:val="clear" w:color="auto" w:fill="A4C2F4"/>
            <w:vAlign w:val="center"/>
          </w:tcPr>
          <w:p w14:paraId="733080F7" w14:textId="17F7F70B" w:rsidR="001D6CC5" w:rsidRPr="001D6CC5" w:rsidRDefault="001D6CC5" w:rsidP="001D6CC5">
            <w:pPr>
              <w:suppressAutoHyphens/>
              <w:autoSpaceDN w:val="0"/>
              <w:jc w:val="center"/>
              <w:textAlignment w:val="baseline"/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1D6CC5"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997" w:type="dxa"/>
            <w:shd w:val="clear" w:color="auto" w:fill="D5A6BD"/>
            <w:vAlign w:val="center"/>
          </w:tcPr>
          <w:p w14:paraId="26D07A7E" w14:textId="1ECD112D" w:rsidR="001D6CC5" w:rsidRPr="001D6CC5" w:rsidRDefault="001D6CC5" w:rsidP="001D6CC5">
            <w:pPr>
              <w:suppressAutoHyphens/>
              <w:autoSpaceDN w:val="0"/>
              <w:jc w:val="center"/>
              <w:textAlignment w:val="baseline"/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1D6CC5"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998" w:type="dxa"/>
            <w:shd w:val="clear" w:color="auto" w:fill="FFE599"/>
            <w:vAlign w:val="center"/>
          </w:tcPr>
          <w:p w14:paraId="26F809DE" w14:textId="3C18BD52" w:rsidR="001D6CC5" w:rsidRPr="001D6CC5" w:rsidRDefault="001D6CC5" w:rsidP="001D6CC5">
            <w:pPr>
              <w:suppressAutoHyphens/>
              <w:autoSpaceDN w:val="0"/>
              <w:jc w:val="center"/>
              <w:textAlignment w:val="baseline"/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1D6CC5"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1</w:t>
            </w:r>
          </w:p>
        </w:tc>
      </w:tr>
      <w:tr w:rsidR="001D6CC5" w14:paraId="62ECF821" w14:textId="77777777" w:rsidTr="0008078D">
        <w:trPr>
          <w:trHeight w:val="737"/>
          <w:jc w:val="center"/>
        </w:trPr>
        <w:tc>
          <w:tcPr>
            <w:tcW w:w="3026" w:type="dxa"/>
            <w:vMerge w:val="restart"/>
            <w:vAlign w:val="center"/>
          </w:tcPr>
          <w:p w14:paraId="4006779C" w14:textId="12B35C1B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6A24E1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AUTONOMÍA, USO Y DOMINIO DE LOS CONTENIDOS – 70 %</w:t>
            </w:r>
          </w:p>
        </w:tc>
        <w:tc>
          <w:tcPr>
            <w:tcW w:w="2997" w:type="dxa"/>
            <w:vAlign w:val="center"/>
          </w:tcPr>
          <w:p w14:paraId="53277D87" w14:textId="70A147DF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Identifica y describe a los </w:t>
            </w:r>
            <w:r w:rsidR="00DF5DC3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poríferos</w:t>
            </w: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atendiendo a sus múltiples características.</w:t>
            </w:r>
          </w:p>
        </w:tc>
        <w:tc>
          <w:tcPr>
            <w:tcW w:w="2997" w:type="dxa"/>
            <w:vAlign w:val="center"/>
          </w:tcPr>
          <w:p w14:paraId="2D07866D" w14:textId="65204A30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Identifica sin problema y describe la mayoría de las características de los </w:t>
            </w:r>
            <w:r w:rsidR="00DF5DC3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poríferos.</w:t>
            </w:r>
          </w:p>
        </w:tc>
        <w:tc>
          <w:tcPr>
            <w:tcW w:w="2997" w:type="dxa"/>
            <w:vAlign w:val="center"/>
          </w:tcPr>
          <w:p w14:paraId="14BCCA09" w14:textId="56B8F216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Puede identificar y describir </w:t>
            </w:r>
            <w:r w:rsidR="00DF5DC3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a los poríferos, pero sin demasiado detalle.</w:t>
            </w:r>
          </w:p>
        </w:tc>
        <w:tc>
          <w:tcPr>
            <w:tcW w:w="2998" w:type="dxa"/>
            <w:vAlign w:val="center"/>
          </w:tcPr>
          <w:p w14:paraId="299F64DB" w14:textId="38A77C63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No es capaz de identificar o describir </w:t>
            </w:r>
            <w:r w:rsidR="00DF5DC3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los poríferos</w:t>
            </w: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 una vez se fija en sus características principales.</w:t>
            </w:r>
          </w:p>
        </w:tc>
      </w:tr>
      <w:tr w:rsidR="001D6CC5" w14:paraId="39A1CA0B" w14:textId="77777777" w:rsidTr="0008078D">
        <w:trPr>
          <w:trHeight w:val="737"/>
          <w:jc w:val="center"/>
        </w:trPr>
        <w:tc>
          <w:tcPr>
            <w:tcW w:w="3026" w:type="dxa"/>
            <w:vMerge/>
            <w:vAlign w:val="center"/>
          </w:tcPr>
          <w:p w14:paraId="37F7EA46" w14:textId="77777777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997" w:type="dxa"/>
            <w:vAlign w:val="center"/>
          </w:tcPr>
          <w:p w14:paraId="3CE34291" w14:textId="51C13987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BB7264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Utiliza el vocabulario adquirido sobre los </w:t>
            </w:r>
            <w:r w:rsidR="00DF5DC3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poríferos</w:t>
            </w:r>
            <w:r w:rsidRPr="00BB7264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en sus respuestas y exposiciones.</w:t>
            </w:r>
          </w:p>
        </w:tc>
        <w:tc>
          <w:tcPr>
            <w:tcW w:w="2997" w:type="dxa"/>
            <w:vAlign w:val="center"/>
          </w:tcPr>
          <w:p w14:paraId="757D84EC" w14:textId="50182B3D" w:rsidR="001D6CC5" w:rsidRDefault="00D82A17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Utiliza, aunque no en todos los escenarios, vocabulario propio de la unidad vista.</w:t>
            </w:r>
          </w:p>
        </w:tc>
        <w:tc>
          <w:tcPr>
            <w:tcW w:w="2997" w:type="dxa"/>
            <w:vAlign w:val="center"/>
          </w:tcPr>
          <w:p w14:paraId="6B61402D" w14:textId="34DB4E70" w:rsidR="001D6CC5" w:rsidRDefault="00D82A17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Ha incorporado algunas palabras generales o básicas sobre los </w:t>
            </w:r>
            <w:r w:rsidR="00DF5DC3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poríferos.</w:t>
            </w:r>
          </w:p>
        </w:tc>
        <w:tc>
          <w:tcPr>
            <w:tcW w:w="2998" w:type="dxa"/>
            <w:vAlign w:val="center"/>
          </w:tcPr>
          <w:p w14:paraId="0CE7F4AA" w14:textId="28F2C728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No ha incorporado vocabulario específico de los </w:t>
            </w:r>
            <w:r w:rsidR="00DF5DC3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poríferos.</w:t>
            </w:r>
          </w:p>
        </w:tc>
      </w:tr>
      <w:tr w:rsidR="001D6CC5" w14:paraId="23052847" w14:textId="77777777" w:rsidTr="0008078D">
        <w:trPr>
          <w:trHeight w:val="1134"/>
          <w:jc w:val="center"/>
        </w:trPr>
        <w:tc>
          <w:tcPr>
            <w:tcW w:w="3026" w:type="dxa"/>
            <w:vMerge/>
            <w:vAlign w:val="center"/>
          </w:tcPr>
          <w:p w14:paraId="0ED0C8E3" w14:textId="77777777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997" w:type="dxa"/>
            <w:vAlign w:val="center"/>
          </w:tcPr>
          <w:p w14:paraId="7AB76B7A" w14:textId="6B3FB87F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BB7264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Expone oralmente contenidos relacionados con los </w:t>
            </w:r>
            <w:r w:rsidR="00DF5DC3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poríferos</w:t>
            </w:r>
            <w:r w:rsidRPr="00BB7264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y manifiesta la comprensión de textos orales y/o escritos.</w:t>
            </w:r>
          </w:p>
        </w:tc>
        <w:tc>
          <w:tcPr>
            <w:tcW w:w="2997" w:type="dxa"/>
            <w:vAlign w:val="center"/>
          </w:tcPr>
          <w:p w14:paraId="69A31E4E" w14:textId="64CDC315" w:rsidR="001D6CC5" w:rsidRDefault="00FC185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Tiene una buena comprensión de textos orales y/o escritos. Oralmente expone parte de lo aprendido, pero sin llegar a desarrollar un discurso más elaborado.</w:t>
            </w:r>
          </w:p>
        </w:tc>
        <w:tc>
          <w:tcPr>
            <w:tcW w:w="2997" w:type="dxa"/>
            <w:vAlign w:val="center"/>
          </w:tcPr>
          <w:p w14:paraId="31CE8143" w14:textId="0D2F9B0D" w:rsidR="001D6CC5" w:rsidRDefault="00D82A17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Demuestra cierta comprensión de textos orales y/o escritos. Oralmente apenas puede defender lo aprendido. </w:t>
            </w:r>
          </w:p>
        </w:tc>
        <w:tc>
          <w:tcPr>
            <w:tcW w:w="2998" w:type="dxa"/>
            <w:vAlign w:val="center"/>
          </w:tcPr>
          <w:p w14:paraId="5A41A288" w14:textId="27AD7C37" w:rsidR="001D6CC5" w:rsidRDefault="00D82A17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Demuestra poca comprensión de textos orales y/o escritos. Tampoco es capaz de expresar oralmente lo aprendido.</w:t>
            </w:r>
          </w:p>
        </w:tc>
      </w:tr>
      <w:tr w:rsidR="001D6CC5" w14:paraId="14E6F2A2" w14:textId="77777777" w:rsidTr="00FB4956">
        <w:trPr>
          <w:trHeight w:val="1361"/>
          <w:jc w:val="center"/>
        </w:trPr>
        <w:tc>
          <w:tcPr>
            <w:tcW w:w="3026" w:type="dxa"/>
            <w:vMerge/>
            <w:vAlign w:val="center"/>
          </w:tcPr>
          <w:p w14:paraId="17E702B6" w14:textId="77777777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997" w:type="dxa"/>
            <w:vAlign w:val="center"/>
          </w:tcPr>
          <w:p w14:paraId="145FCE92" w14:textId="6A681BDC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DB519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Busca, selecciona y organiza información a partir de imágenes y textos para completar las actividades y responder las preguntas.</w:t>
            </w:r>
          </w:p>
        </w:tc>
        <w:tc>
          <w:tcPr>
            <w:tcW w:w="2997" w:type="dxa"/>
            <w:vAlign w:val="center"/>
          </w:tcPr>
          <w:p w14:paraId="3A847155" w14:textId="7D5BAB59" w:rsidR="001D6CC5" w:rsidRDefault="00FC185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Busca, selecciona y organiza información a partir de imágenes y textos para completar actividades y responder a preguntas con cierta dificultad o con la necesidad de ayuda.</w:t>
            </w:r>
          </w:p>
        </w:tc>
        <w:tc>
          <w:tcPr>
            <w:tcW w:w="2997" w:type="dxa"/>
            <w:vAlign w:val="center"/>
          </w:tcPr>
          <w:p w14:paraId="05FCAFDC" w14:textId="2EC5C643" w:rsidR="001D6CC5" w:rsidRDefault="00FC185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Demuestra poca autonomía y dominio en la búsqueda, selección y/o organización de la información a partir de imágenes y textos cuando necesita completar actividades o responder preguntas.</w:t>
            </w:r>
          </w:p>
        </w:tc>
        <w:tc>
          <w:tcPr>
            <w:tcW w:w="2998" w:type="dxa"/>
            <w:vAlign w:val="center"/>
          </w:tcPr>
          <w:p w14:paraId="49F34691" w14:textId="1D805546" w:rsidR="001D6CC5" w:rsidRDefault="00FC185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No demuestra autonomía en la búsqueda, selección y organización de la información que extrae de imágenes y/o textos.</w:t>
            </w:r>
          </w:p>
        </w:tc>
      </w:tr>
      <w:tr w:rsidR="001D6CC5" w14:paraId="6B65207B" w14:textId="77777777" w:rsidTr="0008078D">
        <w:trPr>
          <w:trHeight w:val="1247"/>
          <w:jc w:val="center"/>
        </w:trPr>
        <w:tc>
          <w:tcPr>
            <w:tcW w:w="3026" w:type="dxa"/>
            <w:vMerge/>
            <w:vAlign w:val="center"/>
          </w:tcPr>
          <w:p w14:paraId="7AF6EF0A" w14:textId="77777777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997" w:type="dxa"/>
            <w:vAlign w:val="center"/>
          </w:tcPr>
          <w:p w14:paraId="6E3D49B1" w14:textId="598955E8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Utiliza la observación directa de elementos relacionados con los </w:t>
            </w:r>
            <w:r w:rsidR="00673764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poríferos</w:t>
            </w: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para extraer conclusiones e información.</w:t>
            </w:r>
          </w:p>
        </w:tc>
        <w:tc>
          <w:tcPr>
            <w:tcW w:w="2997" w:type="dxa"/>
            <w:vAlign w:val="center"/>
          </w:tcPr>
          <w:p w14:paraId="4040FD44" w14:textId="6F9ACC82" w:rsidR="001D6CC5" w:rsidRDefault="0008078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Utiliza la observación directa de elementos relacionados con los </w:t>
            </w:r>
            <w:r w:rsidR="00673764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poríferos</w:t>
            </w: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, pero no es capaz de extraer toda la información o conclusiones del centro de interés.</w:t>
            </w:r>
          </w:p>
        </w:tc>
        <w:tc>
          <w:tcPr>
            <w:tcW w:w="2997" w:type="dxa"/>
            <w:vAlign w:val="center"/>
          </w:tcPr>
          <w:p w14:paraId="1840FE2F" w14:textId="6FCD0FAC" w:rsidR="001D6CC5" w:rsidRDefault="0008078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Utiliza la observación directa de elementos relacionados con los </w:t>
            </w:r>
            <w:r w:rsidR="00673764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poríferos</w:t>
            </w: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para extraer</w:t>
            </w: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ciertas</w:t>
            </w: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conclusiones e información</w:t>
            </w: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, pero necesita ayuda y/o orientación.</w:t>
            </w:r>
          </w:p>
        </w:tc>
        <w:tc>
          <w:tcPr>
            <w:tcW w:w="2998" w:type="dxa"/>
            <w:vAlign w:val="center"/>
          </w:tcPr>
          <w:p w14:paraId="10641ACF" w14:textId="79E9955C" w:rsidR="001D6CC5" w:rsidRDefault="0008078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Utilizando la observación directa no es capaz de extraer información útil y/o necesaria para llegar a conclusiones válidas y significativas sobre los </w:t>
            </w:r>
            <w:r w:rsidR="00673764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poríferos.</w:t>
            </w:r>
          </w:p>
        </w:tc>
      </w:tr>
      <w:tr w:rsidR="001D6CC5" w14:paraId="6A0A3C1D" w14:textId="77777777" w:rsidTr="00FC185D">
        <w:trPr>
          <w:trHeight w:val="944"/>
          <w:jc w:val="center"/>
        </w:trPr>
        <w:tc>
          <w:tcPr>
            <w:tcW w:w="3026" w:type="dxa"/>
            <w:vAlign w:val="center"/>
          </w:tcPr>
          <w:p w14:paraId="219C121C" w14:textId="05E13780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6A24E1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UTILIZACIÓN DE LAS TECNOLOGÍAS DIGITALES – 15 %</w:t>
            </w:r>
          </w:p>
        </w:tc>
        <w:tc>
          <w:tcPr>
            <w:tcW w:w="2997" w:type="dxa"/>
            <w:vAlign w:val="center"/>
          </w:tcPr>
          <w:p w14:paraId="7B6F86B9" w14:textId="562A975F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Muestra un dominio elevado de las tecnologías digitales y las utiliza con responsabilidad y adecuación. </w:t>
            </w:r>
          </w:p>
        </w:tc>
        <w:tc>
          <w:tcPr>
            <w:tcW w:w="2997" w:type="dxa"/>
            <w:vAlign w:val="center"/>
          </w:tcPr>
          <w:p w14:paraId="00905D26" w14:textId="7D62D8FF" w:rsidR="001D6CC5" w:rsidRDefault="0008078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Muestra cierto dominio de las tecnologías digitales y las utiliza con responsabilidad y adecuación.</w:t>
            </w:r>
          </w:p>
        </w:tc>
        <w:tc>
          <w:tcPr>
            <w:tcW w:w="2997" w:type="dxa"/>
            <w:vAlign w:val="center"/>
          </w:tcPr>
          <w:p w14:paraId="3D522AAF" w14:textId="1C8699D1" w:rsidR="001D6CC5" w:rsidRDefault="0008078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Precisa de cierta ayuda para desenvolverse con las tecnologías digitales a la hora de realizar actividades o completar tareas.</w:t>
            </w:r>
          </w:p>
        </w:tc>
        <w:tc>
          <w:tcPr>
            <w:tcW w:w="2998" w:type="dxa"/>
            <w:vAlign w:val="center"/>
          </w:tcPr>
          <w:p w14:paraId="143C580A" w14:textId="6AA9BEBD" w:rsidR="001D6CC5" w:rsidRDefault="0008078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Muestra desconocimiento y/o desinterés por el manejo de las tecnologías digitales aplicadas al centro de interés. </w:t>
            </w:r>
          </w:p>
        </w:tc>
      </w:tr>
      <w:tr w:rsidR="001D6CC5" w14:paraId="01A3C5AA" w14:textId="77777777" w:rsidTr="00FC185D">
        <w:trPr>
          <w:trHeight w:val="944"/>
          <w:jc w:val="center"/>
        </w:trPr>
        <w:tc>
          <w:tcPr>
            <w:tcW w:w="3026" w:type="dxa"/>
            <w:vAlign w:val="center"/>
          </w:tcPr>
          <w:p w14:paraId="7FE8A486" w14:textId="2C1AEC1D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6A24E1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HÁBITOS DE RESPETO Y CUIDADO HACIA LOS SERES VIVOS – 15%</w:t>
            </w:r>
          </w:p>
        </w:tc>
        <w:tc>
          <w:tcPr>
            <w:tcW w:w="2997" w:type="dxa"/>
            <w:vAlign w:val="center"/>
          </w:tcPr>
          <w:p w14:paraId="1AFC9301" w14:textId="3AFDF4CC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6A24E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Muestra conductas de compromiso y responsabilidad ante los peligros y amenazas del medioambiente.</w:t>
            </w:r>
          </w:p>
        </w:tc>
        <w:tc>
          <w:tcPr>
            <w:tcW w:w="2997" w:type="dxa"/>
            <w:vAlign w:val="center"/>
          </w:tcPr>
          <w:p w14:paraId="66A05D9C" w14:textId="30F173CF" w:rsidR="001D6CC5" w:rsidRDefault="00540F01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Muestra ciertas conductas de responsabilidad y compromiso ante las amenazas y peligros del medioambiente.</w:t>
            </w:r>
          </w:p>
        </w:tc>
        <w:tc>
          <w:tcPr>
            <w:tcW w:w="2997" w:type="dxa"/>
            <w:vAlign w:val="center"/>
          </w:tcPr>
          <w:p w14:paraId="3134181E" w14:textId="5D6612AC" w:rsidR="001D6CC5" w:rsidRDefault="00540F01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Demuestra interés y responsabilidad ante las amenazas medioambientales, pero no asume cierta responsabilidad en sus acciones.</w:t>
            </w:r>
          </w:p>
        </w:tc>
        <w:tc>
          <w:tcPr>
            <w:tcW w:w="2998" w:type="dxa"/>
            <w:vAlign w:val="center"/>
          </w:tcPr>
          <w:p w14:paraId="368E06B3" w14:textId="3038E265" w:rsidR="001D6CC5" w:rsidRDefault="00540F01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Se mantiene ajeno/a </w:t>
            </w:r>
            <w:proofErr w:type="spellStart"/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a</w:t>
            </w:r>
            <w:proofErr w:type="spellEnd"/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 la responsabilidad de la especie humana frente al impacto medioambiental.</w:t>
            </w:r>
          </w:p>
        </w:tc>
      </w:tr>
    </w:tbl>
    <w:p w14:paraId="258F9DF9" w14:textId="77777777" w:rsidR="001D6CC5" w:rsidRPr="001D6CC5" w:rsidRDefault="001D6CC5" w:rsidP="001D6CC5">
      <w:pPr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3"/>
          <w:sz w:val="2"/>
          <w:szCs w:val="2"/>
          <w:lang w:eastAsia="zh-CN"/>
        </w:rPr>
      </w:pPr>
    </w:p>
    <w:sectPr w:rsidR="001D6CC5" w:rsidRPr="001D6CC5" w:rsidSect="00C20FA1">
      <w:headerReference w:type="default" r:id="rId10"/>
      <w:footerReference w:type="default" r:id="rId11"/>
      <w:pgSz w:w="16838" w:h="11906" w:orient="landscape"/>
      <w:pgMar w:top="1491" w:right="678" w:bottom="1701" w:left="709" w:header="605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5DB8C" w14:textId="77777777" w:rsidR="0037359A" w:rsidRDefault="0037359A" w:rsidP="00A568EA">
      <w:pPr>
        <w:spacing w:after="0" w:line="240" w:lineRule="auto"/>
      </w:pPr>
      <w:r>
        <w:separator/>
      </w:r>
    </w:p>
  </w:endnote>
  <w:endnote w:type="continuationSeparator" w:id="0">
    <w:p w14:paraId="2EE33632" w14:textId="77777777" w:rsidR="0037359A" w:rsidRDefault="0037359A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wan Thulut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LT Std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5F348B71">
          <wp:simplePos x="0" y="0"/>
          <wp:positionH relativeFrom="margin">
            <wp:align>center</wp:align>
          </wp:positionH>
          <wp:positionV relativeFrom="paragraph">
            <wp:posOffset>-4884</wp:posOffset>
          </wp:positionV>
          <wp:extent cx="781050" cy="273050"/>
          <wp:effectExtent l="0" t="0" r="6350" b="6350"/>
          <wp:wrapThrough wrapText="bothSides">
            <wp:wrapPolygon edited="0">
              <wp:start x="0" y="0"/>
              <wp:lineTo x="0" y="21098"/>
              <wp:lineTo x="21424" y="21098"/>
              <wp:lineTo x="21424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518BE8B4" w:rsidR="0021375D" w:rsidRP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 w:rsidRPr="0021375D">
      <w:rPr>
        <w:rFonts w:ascii="Helvetica LT Std Light" w:hAnsi="Helvetica LT Std Light"/>
        <w:sz w:val="16"/>
      </w:rPr>
      <w:t>(</w:t>
    </w:r>
    <w:r w:rsidR="00DB519F">
      <w:rPr>
        <w:rFonts w:ascii="Helvetica LT Std Light" w:hAnsi="Helvetica LT Std Light"/>
        <w:sz w:val="16"/>
      </w:rPr>
      <w:t xml:space="preserve">Los </w:t>
    </w:r>
    <w:r w:rsidR="00DF5DC3">
      <w:rPr>
        <w:rFonts w:ascii="Helvetica LT Std Light" w:hAnsi="Helvetica LT Std Light"/>
        <w:sz w:val="16"/>
      </w:rPr>
      <w:t>poríferos</w:t>
    </w:r>
    <w:r w:rsidR="00DB519F">
      <w:rPr>
        <w:rFonts w:ascii="Helvetica LT Std Light" w:hAnsi="Helvetica LT Std Light"/>
        <w:sz w:val="16"/>
      </w:rPr>
      <w:t xml:space="preserve"> – rúbrica de evaluación</w:t>
    </w:r>
    <w:r w:rsidRPr="0021375D">
      <w:rPr>
        <w:rFonts w:ascii="Helvetica LT Std Light" w:hAnsi="Helvetica LT Std Light"/>
        <w:sz w:val="16"/>
      </w:rPr>
      <w:t>) de Área de Recursos Educativos Digitales (</w:t>
    </w:r>
    <w:proofErr w:type="spellStart"/>
    <w:r w:rsidRPr="0021375D">
      <w:rPr>
        <w:rFonts w:ascii="Helvetica LT Std Light" w:hAnsi="Helvetica LT Std Light"/>
        <w:sz w:val="16"/>
      </w:rPr>
      <w:t>INTEF</w:t>
    </w:r>
    <w:proofErr w:type="spellEnd"/>
    <w:r w:rsidRPr="0021375D">
      <w:rPr>
        <w:rFonts w:ascii="Helvetica LT Std Light" w:hAnsi="Helvetica LT Std Light"/>
        <w:sz w:val="16"/>
      </w:rPr>
      <w:t xml:space="preserve">) se encuentra bajo una Licencia Creative Commons Atribución-CompartirIgual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8325D" w14:textId="77777777" w:rsidR="0037359A" w:rsidRDefault="0037359A" w:rsidP="00A568EA">
      <w:pPr>
        <w:spacing w:after="0" w:line="240" w:lineRule="auto"/>
      </w:pPr>
      <w:r>
        <w:separator/>
      </w:r>
    </w:p>
  </w:footnote>
  <w:footnote w:type="continuationSeparator" w:id="0">
    <w:p w14:paraId="04C9A5D4" w14:textId="77777777" w:rsidR="0037359A" w:rsidRDefault="0037359A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5EDE2" w14:textId="74258F31" w:rsidR="00C20FA1" w:rsidRPr="000720B5" w:rsidRDefault="00C20FA1" w:rsidP="00C20FA1">
    <w:pPr>
      <w:pStyle w:val="Encabezado"/>
      <w:tabs>
        <w:tab w:val="left" w:pos="1406"/>
        <w:tab w:val="right" w:pos="14742"/>
      </w:tabs>
      <w:spacing w:line="276" w:lineRule="auto"/>
      <w:ind w:left="210" w:right="709"/>
      <w:rPr>
        <w:rFonts w:ascii="Diwan Thuluth" w:eastAsia="Times New Roman" w:hAnsi="Diwan Thuluth" w:cs="Diwan Thuluth"/>
        <w:color w:val="01718A"/>
        <w:kern w:val="3"/>
        <w:sz w:val="20"/>
        <w:szCs w:val="20"/>
        <w:lang w:eastAsia="zh-CN"/>
      </w:rPr>
    </w:pPr>
    <w:r w:rsidRPr="000720B5">
      <w:rPr>
        <w:rFonts w:ascii="Ubuntu" w:eastAsia="Times New Roman" w:hAnsi="Ubuntu" w:cs="Times New Roman" w:hint="cs"/>
        <w:noProof/>
        <w:color w:val="01718A"/>
        <w:kern w:val="3"/>
        <w:sz w:val="18"/>
        <w:szCs w:val="18"/>
        <w:lang w:eastAsia="zh-CN"/>
      </w:rPr>
      <w:drawing>
        <wp:anchor distT="0" distB="0" distL="114300" distR="114300" simplePos="0" relativeHeight="251658240" behindDoc="1" locked="0" layoutInCell="1" allowOverlap="1" wp14:anchorId="0ABB6245" wp14:editId="38DDC870">
          <wp:simplePos x="0" y="0"/>
          <wp:positionH relativeFrom="margin">
            <wp:posOffset>6822225</wp:posOffset>
          </wp:positionH>
          <wp:positionV relativeFrom="paragraph">
            <wp:posOffset>-206980</wp:posOffset>
          </wp:positionV>
          <wp:extent cx="2926080" cy="63817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20B5">
      <w:rPr>
        <w:rFonts w:ascii="Ubuntu" w:eastAsia="Times New Roman" w:hAnsi="Ubuntu" w:cs="Times New Roman"/>
        <w:color w:val="01718A"/>
        <w:kern w:val="3"/>
        <w:sz w:val="18"/>
        <w:szCs w:val="18"/>
        <w:lang w:eastAsia="zh-CN"/>
      </w:rPr>
      <w:t>Á</w:t>
    </w:r>
    <w:r w:rsidRPr="000720B5">
      <w:rPr>
        <w:rFonts w:ascii="Ubuntu" w:eastAsia="Times New Roman" w:hAnsi="Ubuntu" w:cs="Times New Roman" w:hint="cs"/>
        <w:color w:val="01718A"/>
        <w:kern w:val="3"/>
        <w:sz w:val="18"/>
        <w:szCs w:val="18"/>
        <w:lang w:eastAsia="zh-CN"/>
      </w:rPr>
      <w:t>REA: CIENCIAS NATURALES</w:t>
    </w:r>
  </w:p>
  <w:p w14:paraId="2D06CADB" w14:textId="7AD64E94" w:rsidR="0021375D" w:rsidRPr="00C20FA1" w:rsidRDefault="00113261" w:rsidP="00C20FA1">
    <w:pPr>
      <w:pStyle w:val="Encabezado"/>
      <w:tabs>
        <w:tab w:val="left" w:pos="1406"/>
        <w:tab w:val="right" w:pos="14742"/>
      </w:tabs>
      <w:ind w:left="210" w:right="709"/>
      <w:rPr>
        <w:rFonts w:ascii="Arial Narrow" w:hAnsi="Arial Narrow" w:cs="Times New Roman"/>
        <w:sz w:val="16"/>
        <w:szCs w:val="16"/>
      </w:rPr>
    </w:pPr>
    <w:r>
      <w:rPr>
        <w:rFonts w:ascii="Ubuntu" w:eastAsia="Times New Roman" w:hAnsi="Ubuntu" w:cs="Times New Roman"/>
        <w:color w:val="01718A"/>
        <w:kern w:val="3"/>
        <w:sz w:val="18"/>
        <w:szCs w:val="18"/>
        <w:lang w:eastAsia="zh-CN"/>
      </w:rPr>
      <w:t>RECURSO: LOS PORÍFEROS</w:t>
    </w:r>
    <w:r w:rsidR="00C20FA1" w:rsidRPr="000720B5">
      <w:rPr>
        <w:rFonts w:ascii="Ubuntu" w:eastAsia="Times New Roman" w:hAnsi="Ubuntu" w:cs="Times New Roman"/>
        <w:color w:val="01718A"/>
        <w:kern w:val="3"/>
        <w:sz w:val="18"/>
        <w:szCs w:val="18"/>
        <w:lang w:eastAsia="zh-CN"/>
      </w:rPr>
      <w:tab/>
    </w:r>
    <w:r w:rsidR="00C20FA1" w:rsidRPr="00C20FA1">
      <w:rPr>
        <w:rFonts w:ascii="Arial Narrow" w:hAnsi="Arial Narrow" w:cs="Times New Roman"/>
        <w:sz w:val="16"/>
        <w:szCs w:val="16"/>
      </w:rPr>
      <w:tab/>
    </w:r>
    <w:r w:rsidR="00C20FA1" w:rsidRPr="00C20FA1">
      <w:rPr>
        <w:rFonts w:ascii="Arial Narrow" w:hAnsi="Arial Narrow" w:cs="Times New Roman"/>
        <w:sz w:val="16"/>
        <w:szCs w:val="16"/>
      </w:rPr>
      <w:tab/>
    </w: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45667"/>
    <w:rsid w:val="000720B5"/>
    <w:rsid w:val="0008078D"/>
    <w:rsid w:val="000E7C97"/>
    <w:rsid w:val="00113261"/>
    <w:rsid w:val="001D6CC5"/>
    <w:rsid w:val="0021375D"/>
    <w:rsid w:val="00226E6B"/>
    <w:rsid w:val="0037359A"/>
    <w:rsid w:val="004A024F"/>
    <w:rsid w:val="00540F01"/>
    <w:rsid w:val="00673764"/>
    <w:rsid w:val="006A24E1"/>
    <w:rsid w:val="006E643B"/>
    <w:rsid w:val="008B5942"/>
    <w:rsid w:val="00A568EA"/>
    <w:rsid w:val="00B0526A"/>
    <w:rsid w:val="00BB7264"/>
    <w:rsid w:val="00C20FA1"/>
    <w:rsid w:val="00D82A17"/>
    <w:rsid w:val="00DB519F"/>
    <w:rsid w:val="00DD29FF"/>
    <w:rsid w:val="00DF5DC3"/>
    <w:rsid w:val="00EA4CF8"/>
    <w:rsid w:val="00EE6E12"/>
    <w:rsid w:val="00F73450"/>
    <w:rsid w:val="00FB4956"/>
    <w:rsid w:val="00FC185D"/>
    <w:rsid w:val="1386F8A6"/>
    <w:rsid w:val="30E4E69C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8B3F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paragraph" w:styleId="Textodeglobo">
    <w:name w:val="Balloon Text"/>
    <w:basedOn w:val="Normal"/>
    <w:link w:val="TextodegloboCar"/>
    <w:uiPriority w:val="99"/>
    <w:semiHidden/>
    <w:unhideWhenUsed/>
    <w:rsid w:val="0004566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667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1D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16DF7-81BE-414D-92C6-2AEC27E203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jose ramon fernandez</cp:lastModifiedBy>
  <cp:revision>6</cp:revision>
  <cp:lastPrinted>2020-10-03T15:59:00Z</cp:lastPrinted>
  <dcterms:created xsi:type="dcterms:W3CDTF">2020-10-03T15:59:00Z</dcterms:created>
  <dcterms:modified xsi:type="dcterms:W3CDTF">2020-11-01T10:48:00Z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