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ge">
                  <wp:posOffset>889899</wp:posOffset>
                </wp:positionV>
                <wp:extent cx="9780271" cy="2916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271" cy="2916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Off val="21960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LISTADO DE COTEJO DEL GRECO-V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DEO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70.1pt;width:770.1pt;height:2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6BE98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LISTADO DE COTEJO DEL GRECO-V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DEO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Cuerpo"/>
        <w:spacing w:after="0"/>
      </w:pPr>
    </w:p>
    <w:p>
      <w:pPr>
        <w:pStyle w:val="Cuerpo"/>
        <w:spacing w:after="0"/>
      </w:pPr>
      <w:r>
        <w:rPr>
          <w:rtl w:val="0"/>
          <w:lang w:val="es-ES_tradnl"/>
        </w:rPr>
        <w:t>Nombre del alumno o alumnos: ________________________________________________</w:t>
      </w:r>
    </w:p>
    <w:tbl>
      <w:tblPr>
        <w:tblW w:w="154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0"/>
        <w:gridCol w:w="11232"/>
        <w:gridCol w:w="992"/>
        <w:gridCol w:w="948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ASPECTOS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dcd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Criterios de evaluaci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7d6a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Í</w:t>
            </w:r>
          </w:p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d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Tema principal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tema aparece identificado claramente y expresado de manera clara y precisa.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Estructura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parte de una introducci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n, de encuadre y capta la atenci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n, le sigue el desarrollo y finaliza con un cierre.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Contenidos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Los conceptos y acontecimientos claves aparecen y se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aden otros que lo complementan.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Cronolog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Las fechas importantes aparecen  y se respeta el orden cronol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gico en la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Organizaci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contenido presentado aparece ordenado de una manera clara y 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gica y conectados mediante elementos gr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ficos (flechas, s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mbolos,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…</w:t>
            </w:r>
            <w:r>
              <w:rPr>
                <w:rFonts w:ascii="Calibri" w:hAnsi="Calibri"/>
                <w:sz w:val="22"/>
                <w:szCs w:val="22"/>
                <w:rtl w:val="0"/>
              </w:rPr>
              <w:t xml:space="preserve">) y palabras-conectores. 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Uso del lenguaje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gui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y actores del v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deo respetan y cuidan en todo momento la gram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tica, la dicci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y la ortograf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Creatividad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producto demuestra gran originalidad. Las ideas son creativas e ingeniosas.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Videograf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a-Claridad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calidad del v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deo y del enfoque es excelente en todas sus partes, as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como el sonido.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Cuerpo"/>
      </w:pPr>
    </w:p>
    <w:tbl>
      <w:tblPr>
        <w:tblW w:w="154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d0ddef"/>
        <w:tblLayout w:type="fixed"/>
      </w:tblPr>
      <w:tblGrid>
        <w:gridCol w:w="5144"/>
        <w:gridCol w:w="5144"/>
        <w:gridCol w:w="5145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Nivel de desempe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ñ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Valoraci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 de los criterios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Referencia num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é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rica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A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Destacado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Ocho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B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Satisfactorio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Siete criterios demostrados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Seis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9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Suficiente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Cinco criterios demostrados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Cuatro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7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Insuficiente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Tres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5</w:t>
            </w:r>
          </w:p>
        </w:tc>
      </w:tr>
    </w:tbl>
    <w:p>
      <w:pPr>
        <w:pStyle w:val="Cuerpo"/>
      </w:pPr>
    </w:p>
    <w:sectPr>
      <w:headerReference w:type="default" r:id="rId4"/>
      <w:footerReference w:type="default" r:id="rId5"/>
      <w:pgSz w:w="16840" w:h="11900" w:orient="landscape"/>
      <w:pgMar w:top="1440" w:right="678" w:bottom="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T Std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tl w:val="0"/>
        <w:lang w:val="es-ES_tradnl"/>
      </w:rPr>
      <w:t>“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Listado de cotejo del Greco-v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í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deo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Á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ñ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a. </w:t>
    </w:r>
  </w:p>
  <w:p>
    <w:pPr>
      <w:pStyle w:val="footer"/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7327900</wp:posOffset>
          </wp:positionH>
          <wp:positionV relativeFrom="page">
            <wp:posOffset>219710</wp:posOffset>
          </wp:positionV>
          <wp:extent cx="2926080" cy="638175"/>
          <wp:effectExtent l="0" t="0" r="0" b="0"/>
          <wp:wrapNone/>
          <wp:docPr id="1073741825" name="officeArt object" descr="imagotipo_intef_nombre_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otipo_intef_nombre_completo.png" descr="imagotipo_intef_nombre_comple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 LT Std Light" w:cs="Helvetica LT Std Light" w:hAnsi="Helvetica LT Std Light" w:eastAsia="Helvetica LT Std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