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64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10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ESCALETA PARA LA </w:t>
            </w: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rtl w:val="0"/>
                <w:lang w:val="es-ES_tradnl"/>
              </w:rPr>
              <w:t>G</w:t>
            </w: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rtl w:val="0"/>
                <w:lang w:val="de-DE"/>
              </w:rPr>
              <w:t>RABACI</w:t>
            </w:r>
            <w:r>
              <w:rPr>
                <w:rStyle w:val="Ninguno"/>
                <w:rFonts w:ascii="Avenir Next Regular" w:hAnsi="Avenir Next Regular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rtl w:val="0"/>
                <w:lang w:val="es-ES_tradnl"/>
              </w:rPr>
              <w:t>N DE UN PODCAST</w:t>
            </w:r>
          </w:p>
        </w:tc>
      </w:tr>
    </w:tbl>
    <w:p>
      <w:pPr>
        <w:pStyle w:val="Cuerpo"/>
      </w:pPr>
    </w:p>
    <w:tbl>
      <w:tblPr>
        <w:tblW w:w="104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dotted" w:color="ffffff" w:sz="8" w:space="0" w:shadow="0" w:frame="0"/>
          <w:insideV w:val="dotted" w:color="ffffff" w:sz="8" w:space="0" w:shadow="0" w:frame="0"/>
        </w:tblBorders>
        <w:shd w:val="clear" w:color="auto" w:fill="d0ddef"/>
        <w:tblLayout w:type="fixed"/>
      </w:tblPr>
      <w:tblGrid>
        <w:gridCol w:w="1032"/>
        <w:gridCol w:w="7347"/>
        <w:gridCol w:w="1171"/>
        <w:gridCol w:w="934"/>
      </w:tblGrid>
      <w:tr>
        <w:tblPrEx>
          <w:shd w:val="clear" w:color="auto" w:fill="d0ddef"/>
        </w:tblPrEx>
        <w:trPr>
          <w:trHeight w:val="586" w:hRule="atLeast"/>
        </w:trPr>
        <w:tc>
          <w:tcPr>
            <w:tcW w:type="dxa" w:w="1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Minuto de inicio</w:t>
            </w:r>
          </w:p>
        </w:tc>
        <w:tc>
          <w:tcPr>
            <w:tcW w:type="dxa" w:w="7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Texto del personaje/locutor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Efectos de sonido</w:t>
            </w:r>
          </w:p>
        </w:tc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venir Next Regular" w:hAnsi="Avenir Next Regular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sica</w:t>
            </w:r>
          </w:p>
        </w:tc>
      </w:tr>
      <w:tr>
        <w:tblPrEx>
          <w:shd w:val="clear" w:color="auto" w:fill="d0ddef"/>
        </w:tblPrEx>
        <w:trPr>
          <w:trHeight w:val="1733" w:hRule="atLeast"/>
        </w:trPr>
        <w:tc>
          <w:tcPr>
            <w:tcW w:type="dxa" w:w="1032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833" w:hRule="atLeast"/>
        </w:trPr>
        <w:tc>
          <w:tcPr>
            <w:tcW w:type="dxa" w:w="10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33" w:hRule="atLeast"/>
        </w:trPr>
        <w:tc>
          <w:tcPr>
            <w:tcW w:type="dxa" w:w="10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22" w:hRule="atLeast"/>
        </w:trPr>
        <w:tc>
          <w:tcPr>
            <w:tcW w:type="dxa" w:w="10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09" w:hRule="atLeast"/>
        </w:trPr>
        <w:tc>
          <w:tcPr>
            <w:tcW w:type="dxa" w:w="10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19" w:hRule="atLeast"/>
        </w:trPr>
        <w:tc>
          <w:tcPr>
            <w:tcW w:type="dxa" w:w="103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tbl>
      <w:tblPr>
        <w:tblW w:w="10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dotted" w:color="ffffff" w:sz="8" w:space="0" w:shadow="0" w:frame="0"/>
          <w:insideV w:val="dotted" w:color="ffffff" w:sz="8" w:space="0" w:shadow="0" w:frame="0"/>
        </w:tblBorders>
        <w:shd w:val="clear" w:color="auto" w:fill="d0ddef"/>
        <w:tblLayout w:type="fixed"/>
      </w:tblPr>
      <w:tblGrid>
        <w:gridCol w:w="1023"/>
        <w:gridCol w:w="7289"/>
        <w:gridCol w:w="1162"/>
        <w:gridCol w:w="926"/>
      </w:tblGrid>
      <w:tr>
        <w:tblPrEx>
          <w:shd w:val="clear" w:color="auto" w:fill="d0ddef"/>
        </w:tblPrEx>
        <w:trPr>
          <w:trHeight w:val="586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Minuto de inicio</w:t>
            </w:r>
          </w:p>
        </w:tc>
        <w:tc>
          <w:tcPr>
            <w:tcW w:type="dxa" w:w="7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Texto del personaje/locutor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Efectos de sonido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venir Next Regular" w:hAnsi="Avenir Next Regular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venir Next Regular" w:hAnsi="Avenir Next Regular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sica</w:t>
            </w:r>
          </w:p>
        </w:tc>
      </w:tr>
      <w:tr>
        <w:tblPrEx>
          <w:shd w:val="clear" w:color="auto" w:fill="d0ddef"/>
        </w:tblPrEx>
        <w:trPr>
          <w:trHeight w:val="1733" w:hRule="atLeast"/>
        </w:trPr>
        <w:tc>
          <w:tcPr>
            <w:tcW w:type="dxa" w:w="1023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833" w:hRule="atLeast"/>
        </w:trPr>
        <w:tc>
          <w:tcPr>
            <w:tcW w:type="dxa" w:w="10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33" w:hRule="atLeast"/>
        </w:trPr>
        <w:tc>
          <w:tcPr>
            <w:tcW w:type="dxa" w:w="10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22" w:hRule="atLeast"/>
        </w:trPr>
        <w:tc>
          <w:tcPr>
            <w:tcW w:type="dxa" w:w="10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09" w:hRule="atLeast"/>
        </w:trPr>
        <w:tc>
          <w:tcPr>
            <w:tcW w:type="dxa" w:w="10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19" w:hRule="atLeast"/>
        </w:trPr>
        <w:tc>
          <w:tcPr>
            <w:tcW w:type="dxa" w:w="10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8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uerpo"/>
      </w:pPr>
    </w:p>
    <w:sectPr>
      <w:headerReference w:type="default" r:id="rId4"/>
      <w:footerReference w:type="default" r:id="rId5"/>
      <w:pgSz w:w="11900" w:h="16840" w:orient="portrait"/>
      <w:pgMar w:top="709" w:right="849" w:bottom="678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Cambria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</w:p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“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Escaleta para la grabaci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 de un podcast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”</w:t>
    </w:r>
  </w:p>
  <w:p>
    <w:pPr>
      <w:pStyle w:val="head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head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180975</wp:posOffset>
          </wp:positionV>
          <wp:extent cx="1933575" cy="421711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3300095</wp:posOffset>
          </wp:positionH>
          <wp:positionV relativeFrom="page">
            <wp:posOffset>10072369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