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0.0" w:type="dxa"/>
        <w:tblLayout w:type="fixed"/>
        <w:tblLook w:val="0400"/>
      </w:tblPr>
      <w:tblGrid>
        <w:gridCol w:w="15345"/>
        <w:tblGridChange w:id="0">
          <w:tblGrid>
            <w:gridCol w:w="153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sz w:val="24"/>
                <w:szCs w:val="24"/>
                <w:rtl w:val="0"/>
              </w:rPr>
              <w:t xml:space="preserve">RÚBRICA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LAS IDEAS PRINCIPALES Y SECUNDARIAS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Nombre del alumno o alumnos: </w:t>
      </w:r>
      <w:r w:rsidDel="00000000" w:rsidR="00000000" w:rsidRPr="00000000">
        <w:rPr>
          <w:rFonts w:ascii="Ubuntu" w:cs="Ubuntu" w:eastAsia="Ubuntu" w:hAnsi="Ubuntu"/>
          <w:color w:val="000000"/>
          <w:sz w:val="18"/>
          <w:szCs w:val="1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5640"/>
        <w:gridCol w:w="2985"/>
        <w:gridCol w:w="2820"/>
        <w:gridCol w:w="2640"/>
        <w:gridCol w:w="1170"/>
        <w:tblGridChange w:id="0">
          <w:tblGrid>
            <w:gridCol w:w="5640"/>
            <w:gridCol w:w="2985"/>
            <w:gridCol w:w="2820"/>
            <w:gridCol w:w="2640"/>
            <w:gridCol w:w="117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 dificultad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4.1.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Capta el propósito de los mismos. Identifica las partes de la estructura organizativa de los textos y analiza su progresión temática.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Entiende el texto y saca las ideas principales y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Comprende el texto y sacas las ideas principales, pero no las secundarias..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comprende el texto y no saca ningún tipo de idea.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4.2.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Elabora resúmenes de textos leídos. Identifica los elementos característicos de los diferentes tipos de textos.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elementos característicos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4.3.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Reconoce algunos mecanismos de cohesión en diferentes tipos de texto.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todos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Identifica algunos de los mecanismos de cohesión  de un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identifica nada.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5.2.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las palabras clave de un texto que ayudan a la comprensión global.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todas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Marca algunas de las palabras claves.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marca ninguna palabra clave.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5.3.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Activa conocimientos previos ayudándose de ellos para comprender un texto.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 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en todos los textos independientemente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activa algunas veces y dependiendo de la temática y estilo de texto.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consigue activar los conocimientos previos.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9.1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Sabe utilizar los medios informáticos para obtener información.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soltura y sin problemas.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algunos problemas, pero no influye mucho en la realización de la actividad.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Los utiliza con muchos problemas e influye mucho en la realización de las actividades.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Rúbrica recurso “Las Ideas Principales y Secundarias”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Lengua Castellana y Literatura 4º de Primaria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Recurso: Las Ideas Principales y Secundarias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OjRJMBvlavlzGPT9oKnKQGi+A==">AMUW2mUjMLQTrba0W2HFSwH9Wk7jS+OUpCuqZBT2ycA3hOl8nDd6ZRMHCV3YDFtMYsXcmNI0nlatPyETTCJgMZcz5sIi1bPu+v6BmI3PGNscnJLKELHSyhA=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